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>污泥浓缩专用药剂实验规程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污泥流程原理</w:t>
      </w:r>
      <w:r>
        <w:rPr>
          <w:rFonts w:hint="eastAsia"/>
          <w:sz w:val="32"/>
          <w:szCs w:val="32"/>
        </w:rPr>
        <w:t>：</w:t>
      </w: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  <w:r>
        <w:rPr>
          <w:color w:val="000000"/>
          <w:sz w:val="18"/>
          <w:szCs w:val="18"/>
        </w:rPr>
        <w:drawing>
          <wp:inline distT="0" distB="0" distL="0" distR="0">
            <wp:extent cx="6177280" cy="3987165"/>
            <wp:effectExtent l="0" t="0" r="0" b="0"/>
            <wp:docPr id="2" name="图片 2" descr="http://www.gzwshb.com/data/2011/g/www2.gzwshb.com/Image/2012020710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gzwshb.com/data/2011/g/www2.gzwshb.com/Image/201202071016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311" cy="399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</w:t>
      </w:r>
      <w:r>
        <w:rPr>
          <w:rFonts w:hint="eastAsia"/>
          <w:b/>
          <w:bCs/>
          <w:sz w:val="32"/>
          <w:szCs w:val="32"/>
        </w:rPr>
        <w:t>取样点</w:t>
      </w:r>
      <w:r>
        <w:rPr>
          <w:rFonts w:hint="eastAsia"/>
          <w:sz w:val="32"/>
          <w:szCs w:val="32"/>
        </w:rPr>
        <w:t xml:space="preserve">：取经污泥池浓缩后的湿污泥，含水率96以上，取样点在污泥浓缩池污泥排口到管道混合器PAM加药之前均可。 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</w:t>
      </w:r>
      <w:r>
        <w:rPr>
          <w:rFonts w:hint="eastAsia"/>
          <w:b/>
          <w:bCs/>
          <w:sz w:val="32"/>
          <w:szCs w:val="32"/>
        </w:rPr>
        <w:t>取样量</w:t>
      </w:r>
      <w:r>
        <w:rPr>
          <w:rFonts w:hint="eastAsia"/>
          <w:sz w:val="32"/>
          <w:szCs w:val="32"/>
        </w:rPr>
        <w:t>：10L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4、</w:t>
      </w:r>
      <w:r>
        <w:rPr>
          <w:rFonts w:hint="eastAsia"/>
          <w:b/>
          <w:bCs/>
          <w:sz w:val="32"/>
          <w:szCs w:val="32"/>
        </w:rPr>
        <w:t>试验药剂</w:t>
      </w:r>
      <w:r>
        <w:rPr>
          <w:rFonts w:hint="eastAsia"/>
          <w:sz w:val="32"/>
          <w:szCs w:val="32"/>
        </w:rPr>
        <w:t>：我公司污泥专用药剂FAS、阳离子PAM,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5、</w:t>
      </w:r>
      <w:r>
        <w:rPr>
          <w:rFonts w:hint="eastAsia"/>
          <w:b/>
          <w:bCs/>
          <w:sz w:val="32"/>
          <w:szCs w:val="32"/>
        </w:rPr>
        <w:t>试验目的</w:t>
      </w:r>
      <w:r>
        <w:rPr>
          <w:rFonts w:hint="eastAsia"/>
          <w:sz w:val="32"/>
          <w:szCs w:val="32"/>
        </w:rPr>
        <w:t>：验证污泥专用药剂的污泥絮凝效果、加药量及污泥脱水机适用性。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6、</w:t>
      </w:r>
      <w:r>
        <w:rPr>
          <w:rFonts w:hint="eastAsia"/>
          <w:b/>
          <w:bCs/>
          <w:sz w:val="32"/>
          <w:szCs w:val="32"/>
        </w:rPr>
        <w:t>试验过程</w:t>
      </w:r>
      <w:r>
        <w:rPr>
          <w:rFonts w:hint="eastAsia"/>
          <w:sz w:val="32"/>
          <w:szCs w:val="32"/>
        </w:rPr>
        <w:t>：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取1000mL烧杯2只，均放入600-800mL污泥样品， 搅拌均匀，一只烧杯按污水厂实际投加量投加PAM，投加后搅拌30秒静置。另一只烧杯先以200转/分钟的速度搅拌湿污泥，同时投加稀释十倍污泥专用药剂FAS,加药浓度以原液计算，等同于PAM浓度的，投加后搅拌30-60秒后投加PAM,投加浓度为原来的1/2.投加后搅拌30秒静置。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静置相同时间后（30分钟以上），采用相同的方式分离絮凝后的污泥和水，如滤纸抽吸过滤、离心分离、压滤分离等（最好采用与污水厂实际生产一致的方式），分离后分别称污泥和分离水。对比污泥的量和水的量。污泥量越少，分离水的量越多，药剂絮凝的效果越好。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调整不同的加药浓度和反应时间，做梯度试验，找到最佳的加药浓度和加药时间。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7、</w:t>
      </w:r>
      <w:r>
        <w:rPr>
          <w:rFonts w:hint="eastAsia"/>
          <w:b/>
          <w:bCs/>
          <w:sz w:val="32"/>
          <w:szCs w:val="32"/>
        </w:rPr>
        <w:t>预期效果</w:t>
      </w:r>
      <w:r>
        <w:rPr>
          <w:rFonts w:hint="eastAsia"/>
          <w:sz w:val="32"/>
          <w:szCs w:val="32"/>
        </w:rPr>
        <w:t>：</w:t>
      </w:r>
    </w:p>
    <w:p>
      <w:pPr>
        <w:ind w:firstLine="48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节省PAM的加药量，节省加药成本。</w:t>
      </w:r>
    </w:p>
    <w:p>
      <w:pPr>
        <w:ind w:firstLine="48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提高污泥浓缩效果。</w:t>
      </w:r>
    </w:p>
    <w:p>
      <w:pPr>
        <w:pStyle w:val="8"/>
        <w:ind w:left="359" w:leftChars="171" w:firstLine="120" w:firstLineChars="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32"/>
          <w:szCs w:val="32"/>
        </w:rPr>
        <w:t>提高污泥脱水率。</w:t>
      </w:r>
    </w:p>
    <w:p>
      <w:pPr>
        <w:jc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eastAsia="宋体" w:cs="宋体"/>
        <w:color w:val="000000"/>
        <w:sz w:val="21"/>
        <w:szCs w:val="21"/>
      </w:rPr>
    </w:pPr>
    <w:r>
      <w:rPr>
        <w:rFonts w:hint="eastAsia" w:ascii="宋体" w:hAnsi="宋体" w:eastAsia="宋体" w:cs="宋体"/>
        <w:color w:val="000000"/>
        <w:sz w:val="21"/>
        <w:szCs w:val="21"/>
      </w:rPr>
      <w:t>电话：010-82960212   传真：010-82960213   邮编：100120</w:t>
    </w:r>
  </w:p>
  <w:p>
    <w:pPr>
      <w:pStyle w:val="3"/>
      <w:jc w:val="right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color w:val="000000"/>
        <w:sz w:val="21"/>
        <w:szCs w:val="21"/>
      </w:rPr>
      <w:t>地址：北京西城区黄寺大街26号院德胜置业5号楼三层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u w:val="single"/>
        <w:lang w:val="en-US" w:eastAsia="zh-CN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36830</wp:posOffset>
          </wp:positionV>
          <wp:extent cx="1353185" cy="163830"/>
          <wp:effectExtent l="0" t="0" r="18415" b="7620"/>
          <wp:wrapSquare wrapText="bothSides"/>
          <wp:docPr id="1" name="图片 1" descr="说明: QQ截图20120329104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QQ截图2012032910444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185" cy="16383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  <w:p>
    <w:pPr>
      <w:pStyle w:val="4"/>
    </w:pPr>
    <w:r>
      <w:rPr>
        <w:rFonts w:hint="eastAsia"/>
        <w:u w:val="single"/>
        <w:lang w:val="en-US" w:eastAsia="zh-CN"/>
      </w:rPr>
      <w:t xml:space="preserve">                                                                                            </w:t>
    </w:r>
    <w:r>
      <w:rPr>
        <w:rFonts w:hint="eastAsia"/>
        <w:lang w:val="en-US" w:eastAsia="zh-CN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11866731">
    <w:nsid w:val="30641A6B"/>
    <w:multiLevelType w:val="multilevel"/>
    <w:tmpl w:val="30641A6B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118667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83"/>
    <w:rsid w:val="00045937"/>
    <w:rsid w:val="00070102"/>
    <w:rsid w:val="000B4E3A"/>
    <w:rsid w:val="002C2BF7"/>
    <w:rsid w:val="002D6983"/>
    <w:rsid w:val="004612DE"/>
    <w:rsid w:val="004A13DD"/>
    <w:rsid w:val="005242C4"/>
    <w:rsid w:val="005A7AFD"/>
    <w:rsid w:val="0066397E"/>
    <w:rsid w:val="006B633E"/>
    <w:rsid w:val="00916E7D"/>
    <w:rsid w:val="00AA27B7"/>
    <w:rsid w:val="00B07D5B"/>
    <w:rsid w:val="22DB6A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472</Characters>
  <Lines>3</Lines>
  <Paragraphs>1</Paragraphs>
  <TotalTime>0</TotalTime>
  <ScaleCrop>false</ScaleCrop>
  <LinksUpToDate>false</LinksUpToDate>
  <CharactersWithSpaces>553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2016-03-27T14:03:00Z</dcterms:created>
  <dc:creator>LiuHaitao</dc:creator>
  <cp:lastModifiedBy>mk</cp:lastModifiedBy>
  <dcterms:modified xsi:type="dcterms:W3CDTF">2016-03-28T02:56:28Z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